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1CBD" w14:textId="03104ABF" w:rsidR="00076D75" w:rsidRPr="00EF362D" w:rsidRDefault="004F0D42" w:rsidP="00D725D5">
      <w:pPr>
        <w:pStyle w:val="IntenseQuote"/>
        <w:spacing w:before="0"/>
        <w:rPr>
          <w:rStyle w:val="SubtleReference"/>
          <w:b/>
        </w:rPr>
      </w:pPr>
      <w:r w:rsidRPr="00EF362D">
        <w:rPr>
          <w:b/>
          <w:noProof/>
          <w:color w:val="595959" w:themeColor="text1" w:themeTint="A6"/>
          <w:sz w:val="24"/>
        </w:rPr>
        <w:drawing>
          <wp:anchor distT="0" distB="0" distL="114300" distR="114300" simplePos="0" relativeHeight="251660288" behindDoc="0" locked="0" layoutInCell="1" allowOverlap="1" wp14:anchorId="6D114757" wp14:editId="231044C0">
            <wp:simplePos x="0" y="0"/>
            <wp:positionH relativeFrom="page">
              <wp:align>left</wp:align>
            </wp:positionH>
            <wp:positionV relativeFrom="page">
              <wp:posOffset>57150</wp:posOffset>
            </wp:positionV>
            <wp:extent cx="1321594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H Logo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" t="15289" r="7892" b="18488"/>
                    <a:stretch/>
                  </pic:blipFill>
                  <pic:spPr bwMode="auto">
                    <a:xfrm>
                      <a:off x="0" y="0"/>
                      <a:ext cx="1321594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62D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A83DE" wp14:editId="11E7FFA8">
                <wp:simplePos x="0" y="0"/>
                <wp:positionH relativeFrom="page">
                  <wp:posOffset>5334000</wp:posOffset>
                </wp:positionH>
                <wp:positionV relativeFrom="paragraph">
                  <wp:posOffset>-461010</wp:posOffset>
                </wp:positionV>
                <wp:extent cx="2181225" cy="714375"/>
                <wp:effectExtent l="38100" t="57150" r="123825" b="1238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14375"/>
                        </a:xfrm>
                        <a:prstGeom prst="rect">
                          <a:avLst/>
                        </a:prstGeom>
                        <a:solidFill>
                          <a:srgbClr val="DCFAEA"/>
                        </a:solidFill>
                        <a:ln w="6350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30D07F16" w14:textId="0FD23884" w:rsidR="004F0D42" w:rsidRPr="003C5A57" w:rsidRDefault="004F0D42" w:rsidP="004F0D4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A5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Frequently asked</w:t>
                            </w:r>
                          </w:p>
                          <w:p w14:paraId="6E99E30A" w14:textId="0ECEC738" w:rsidR="004F0D42" w:rsidRPr="003C5A57" w:rsidRDefault="004F0D42" w:rsidP="004F0D4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A57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questions:</w:t>
                            </w:r>
                          </w:p>
                          <w:p w14:paraId="1783BCA0" w14:textId="77777777" w:rsidR="004F0D42" w:rsidRPr="004F0D42" w:rsidRDefault="004F0D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A83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0pt;margin-top:-36.3pt;width:171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LrCgMAAC4GAAAOAAAAZHJzL2Uyb0RvYy54bWysVNtuEzEQfUfiHyy/02SzbROiblFoCUIq&#10;BbVFfXa83qwlr8fYzqV8PcfeTS+AhITIg+PL7JkzZy5n7/adYVvlgyZb8eJozJmykmpt1xX/drd8&#10;M+MsRGFrYciqij+owN+dv351tnNzNaGWTK08A4gN852reBujm49GQbaqE+GInLJ4bMh3IuLo16Pa&#10;ix3QOzOajMenox352nmSKgTcXvaP/DzjN42S8UvTBBWZqTi4xbz6vK7SOjo/E/O1F67VcqAh/oFF&#10;J7SF00eoSxEF23j9G1SnpadATTyS1I2oabRUOQZEU4x/iea2FU7lWCBOcI8yhf8HK6+3Xz3TdcVP&#10;OLOiQ4ru1D6y97RnJ0mdnQtzGN06mMU9rpHlw33AZQp63/gu/SMchnfo/PCobQKTuJwUs2IygROJ&#10;t2lxXE4z/Ojpa+dD/KioY2lTcY/cZUnF9ipEMIHpwSQ5C2R0vdTG5INfry6MZ1uBPF9eLBcfFokk&#10;PnlhZizbVfy0PBlnZEvp+97O2ISjcsnAXw5nE5W/besdW5mNvxFJpOl0hhhqnRiW5XiCWGuNeiqL&#10;2Rg/zoRZoxFk9NlDeM4rGcAkQQvjWtGzLfPlQLY3z8Tp4D2fXhALUllV1glIImVeDJKRjy0Nxbz0&#10;ZHv9PKH6BfiCHZow/3u1HTIEiXqMhGb0uo03es28RvuusOJI1A1B/gXvtI9v0HOA6pPwRDi4ss50&#10;Pwuoq1O+OhWFybKs1FaZu5SjclYkNdskeYF0DREKuzbqkFkgAT0VaF+IaRf3qz0IpO2K6gcULcLP&#10;IQcnlxqVdSVC/Co8uhyomFzxC5bGEJzSsINf8j/+dJ/s0Xx45WyHqVHx8H0jvIKynyza8m1xfAzY&#10;mA/HJ9NUH/75y+r5i910FwQBCsxIJ/M22Udz2DaeunsMuEXyiidhJXxXPB62F7GfZRiQUi0W2QiD&#10;xYl4ZW+dTNApr6lv7vb3wrtBx4i2vKbDfEE9vuyx3jZ9aWmxidTo3IBPqg66Yyjl/A41l6be83O2&#10;ehrz5z8BAAD//wMAUEsDBBQABgAIAAAAIQC01i8X4AAAAAsBAAAPAAAAZHJzL2Rvd25yZXYueG1s&#10;TI9BT4NAFITvJv6HzTPx1i6lipTyaAyJMfEm2vT6YLcsyu4iu7T4792e6nEyk5lv8t2se3aSo+us&#10;QVgtI2DSNFZ0pkX4/HhZpMCcJyOot0Yi/EoHu+L2JqdM2LN5l6fKtyyUGJcRgvJ+yDh3jZKa3NIO&#10;0gTvaEdNPsix5WKkcyjXPY+jKOGaOhMWFA2yVLL5riaN4L5eD6qayv2+7Oq3JJ7pSNEP4v3d/LwF&#10;5uXsr2G44Ad0KAJTbScjHOsR0ocofPEIi6c4AXZJrNL1I7AaYb3ZAC9y/v9D8QcAAP//AwBQSwEC&#10;LQAUAAYACAAAACEAtoM4kv4AAADhAQAAEwAAAAAAAAAAAAAAAAAAAAAAW0NvbnRlbnRfVHlwZXNd&#10;LnhtbFBLAQItABQABgAIAAAAIQA4/SH/1gAAAJQBAAALAAAAAAAAAAAAAAAAAC8BAABfcmVscy8u&#10;cmVsc1BLAQItABQABgAIAAAAIQAT9mLrCgMAAC4GAAAOAAAAAAAAAAAAAAAAAC4CAABkcnMvZTJv&#10;RG9jLnhtbFBLAQItABQABgAIAAAAIQC01i8X4AAAAAsBAAAPAAAAAAAAAAAAAAAAAGQFAABkcnMv&#10;ZG93bnJldi54bWxQSwUGAAAAAAQABADzAAAAcQYAAAAA&#10;" fillcolor="#dcfaea" stroked="f" strokeweight=".5pt">
                <v:shadow on="t" color="black" opacity="19660f" offset=".552mm,.73253mm"/>
                <v:textbox>
                  <w:txbxContent>
                    <w:p w14:paraId="30D07F16" w14:textId="0FD23884" w:rsidR="004F0D42" w:rsidRPr="003C5A57" w:rsidRDefault="004F0D42" w:rsidP="004F0D4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5A5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Frequently asked</w:t>
                      </w:r>
                    </w:p>
                    <w:p w14:paraId="6E99E30A" w14:textId="0ECEC738" w:rsidR="004F0D42" w:rsidRPr="003C5A57" w:rsidRDefault="004F0D42" w:rsidP="004F0D4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5A57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questions:</w:t>
                      </w:r>
                    </w:p>
                    <w:p w14:paraId="1783BCA0" w14:textId="77777777" w:rsidR="004F0D42" w:rsidRPr="004F0D42" w:rsidRDefault="004F0D4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67E2" w:rsidRPr="00EF362D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191CC7" wp14:editId="665E1073">
                <wp:simplePos x="0" y="0"/>
                <wp:positionH relativeFrom="page">
                  <wp:posOffset>5162550</wp:posOffset>
                </wp:positionH>
                <wp:positionV relativeFrom="page">
                  <wp:posOffset>266700</wp:posOffset>
                </wp:positionV>
                <wp:extent cx="2498090" cy="9317362"/>
                <wp:effectExtent l="0" t="0" r="16510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090" cy="9317362"/>
                          <a:chOff x="71458" y="-9525"/>
                          <a:chExt cx="2475865" cy="9436656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458" y="-9525"/>
                            <a:ext cx="2475865" cy="92919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199E4D4" w14:textId="24A7B161" w:rsidR="004F0D42" w:rsidRDefault="004F0D42" w:rsidP="004F0D42"/>
                            <w:p w14:paraId="75F7B412" w14:textId="0B5D24E6" w:rsidR="004F0D42" w:rsidRDefault="004F0D42" w:rsidP="004F0D42"/>
                            <w:p w14:paraId="25707E3C" w14:textId="6CD189C8" w:rsidR="004F0D42" w:rsidRPr="004F0D42" w:rsidRDefault="004F0D42" w:rsidP="004F0D42">
                              <w:pPr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</w:pPr>
                              <w:r w:rsidRPr="004F0D42"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  <w:t>Who can refer a client?</w:t>
                              </w:r>
                            </w:p>
                            <w:p w14:paraId="2D191CD2" w14:textId="729A0A8C" w:rsidR="00ED6078" w:rsidRPr="004F0D42" w:rsidRDefault="004F0D42" w:rsidP="004F0D42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</w:pPr>
                              <w:r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 xml:space="preserve">(A) </w:t>
                              </w:r>
                              <w:r w:rsidR="00ED6078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>Anyone can refer a client to FBH. Potential clients can self-refer or</w:t>
                              </w:r>
                              <w:r w:rsidR="00234FEB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 xml:space="preserve"> give us a call to get started.</w:t>
                              </w:r>
                            </w:p>
                            <w:p w14:paraId="2D191CD3" w14:textId="77777777" w:rsidR="00234FEB" w:rsidRPr="004F0D42" w:rsidRDefault="00234FEB" w:rsidP="00234FEB">
                              <w:pPr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</w:pPr>
                              <w:r w:rsidRPr="004F0D42"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  <w:t>Do I have to complete the entire referral form?</w:t>
                              </w:r>
                            </w:p>
                            <w:p w14:paraId="2D191CD4" w14:textId="4A934DBF" w:rsidR="00234FEB" w:rsidRPr="004F0D42" w:rsidRDefault="00234FEB" w:rsidP="00234FEB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</w:pPr>
                              <w:r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>No, only complete as much as you can. The remaining sections will be complete</w:t>
                              </w:r>
                              <w:r w:rsidR="00BB7C5C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>d</w:t>
                              </w:r>
                              <w:r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 xml:space="preserve"> during intake.</w:t>
                              </w:r>
                            </w:p>
                            <w:p w14:paraId="2D191CD5" w14:textId="77777777" w:rsidR="00ED6078" w:rsidRPr="004F0D42" w:rsidRDefault="00ED6078" w:rsidP="00ED6078">
                              <w:pPr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</w:pPr>
                              <w:r w:rsidRPr="004F0D42"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  <w:t>What happens if the client does not meet eligibility?</w:t>
                              </w:r>
                            </w:p>
                            <w:p w14:paraId="2D191CD6" w14:textId="0CBED141" w:rsidR="00ED6078" w:rsidRPr="004F0D42" w:rsidRDefault="00ED5319" w:rsidP="00ED5319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</w:pPr>
                              <w:r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 xml:space="preserve">We will notify the family and make recommendations and or </w:t>
                              </w:r>
                              <w:r w:rsidR="00ED6078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>referrals to other community services that may be helpful.</w:t>
                              </w:r>
                            </w:p>
                            <w:p w14:paraId="2D191CD7" w14:textId="77777777" w:rsidR="00ED6078" w:rsidRPr="004F0D42" w:rsidRDefault="00ED6078" w:rsidP="00ED6078">
                              <w:pPr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</w:pPr>
                              <w:r w:rsidRPr="004F0D42"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  <w:t>Can a client only utilize your assessment services and not utilize other services?</w:t>
                              </w:r>
                            </w:p>
                            <w:p w14:paraId="2D191CD8" w14:textId="1A25C3E1" w:rsidR="00ED6078" w:rsidRPr="004F0D42" w:rsidRDefault="00ED6078" w:rsidP="00ED6078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</w:pPr>
                              <w:r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>Yes, it is the cl</w:t>
                              </w:r>
                              <w:r w:rsidR="00234FEB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>ient</w:t>
                              </w:r>
                              <w:r w:rsidR="003B1636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>’</w:t>
                              </w:r>
                              <w:r w:rsidR="00234FEB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>s/</w:t>
                              </w:r>
                              <w:r w:rsidR="005A0D74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>g</w:t>
                              </w:r>
                              <w:r w:rsidR="00234FEB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>uardian</w:t>
                              </w:r>
                              <w:r w:rsidR="003B1636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>’</w:t>
                              </w:r>
                              <w:r w:rsidR="00234FEB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 xml:space="preserve">s right to </w:t>
                              </w:r>
                              <w:r w:rsidR="005A0D74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 xml:space="preserve">choose to </w:t>
                              </w:r>
                              <w:r w:rsidR="00234FEB"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 xml:space="preserve">engage in treatment. </w:t>
                              </w:r>
                            </w:p>
                            <w:p w14:paraId="2D191CD9" w14:textId="77777777" w:rsidR="00234FEB" w:rsidRPr="004F0D42" w:rsidRDefault="00234FEB" w:rsidP="00234FEB">
                              <w:pPr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</w:pPr>
                              <w:r w:rsidRPr="004F0D42"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  <w:t xml:space="preserve">In the case of </w:t>
                              </w:r>
                              <w:r w:rsidR="003B1636" w:rsidRPr="004F0D42"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  <w:t xml:space="preserve">a </w:t>
                              </w:r>
                              <w:r w:rsidRPr="004F0D42"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  <w:t>social worker as a guardian</w:t>
                              </w:r>
                              <w:r w:rsidR="003B1636" w:rsidRPr="004F0D42"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  <w:t xml:space="preserve">, </w:t>
                              </w:r>
                              <w:r w:rsidRPr="004F0D42">
                                <w:rPr>
                                  <w:rFonts w:ascii="Century Gothic" w:hAnsi="Century Gothic"/>
                                  <w:b/>
                                  <w:color w:val="44546A" w:themeColor="text2"/>
                                </w:rPr>
                                <w:t>does the guardian have to be present during the assessment and or treatment sessions?</w:t>
                              </w:r>
                            </w:p>
                            <w:p w14:paraId="2D191CDA" w14:textId="77777777" w:rsidR="00234FEB" w:rsidRPr="004F0D42" w:rsidRDefault="00234FEB" w:rsidP="00234FEB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</w:pPr>
                              <w:r w:rsidRPr="004F0D42">
                                <w:rPr>
                                  <w:rFonts w:ascii="Century Gothic" w:hAnsi="Century Gothic"/>
                                  <w:color w:val="44546A" w:themeColor="text2"/>
                                </w:rPr>
                                <w:t xml:space="preserve">No, however the social worker will have to sign and authorize treatment and authorization to release information to work with foster parents.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191CDC" w14:textId="77777777" w:rsidR="00ED6078" w:rsidRDefault="00ED607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91CC7" id="Group 211" o:spid="_x0000_s1027" style="position:absolute;left:0;text-align:left;margin-left:406.5pt;margin-top:21pt;width:196.7pt;height:733.65pt;z-index:251659264;mso-position-horizontal-relative:page;mso-position-vertical-relative:page" coordorigin="714,-95" coordsize="24758,9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YO6wMAAH0KAAAOAAAAZHJzL2Uyb0RvYy54bWy8Vtty2zYQfe9M/gHD95gXiRKlsZzROLWn&#10;M27iidPJMwSClxQEUAAy5X59FwuSlmVPc2uqBwqXxWLPwZ4Fzt8cOkHuubGtkpsoPUsiwiVTZSvr&#10;TfTHx6vXRUSso7KkQkm+iR64jd5cvPrlvNdrnqlGiZIbAk6kXfd6EzXO6XUcW9bwjtozpbmEyUqZ&#10;jjromjouDe3BeyfiLEkWca9MqY1i3FoYfRsmowv0X1WcufdVZbkjYhNBbA6/Br87/40vzum6NlQ3&#10;LRvCoN8RRUdbCZtOrt5SR8netM9cdS0zyqrKnTHVxaqqWsYRA6BJkxM010btNWKp132tJ5qA2hOe&#10;vtste3d/a0hbbqIsTSMiaQeHhPsSPwD09Lpeg9W10Xf61gwDdeh5xIfKdP4fsJADEvswEcsPjjAY&#10;zOarIlkB/wzmVrN0OVtkgXrWwPn4dct0nkOuwPzrVZ7l4+yvk4dlXizywcN8tljkC28TjwHEPs4p&#10;rF5DOtlHxuyPMXbXUM3xIKznYmIsGxnb7p1CI5LOfVh+fzD0jHlurL5R7E9LpLpsqKz51hjVN5yW&#10;EBeSDNEfLfAdC0vJrv9dlXAgFNxjep2Q/SJpj6QfU5at0lWCsU2U0bU21l1z1RHf2EQG5ILb0Psb&#10;6wK7ownCUKItr1ohsOMlyi+FIfcUxLWrAxAAe2wlJOkBY14sc/T8ZBJVfuwiQxux7wB2cJsn8BsO&#10;ejLHYz/yBIiE9DEB9CHwkcJwFNY9CO4NhPzAK0h3TNSAwtQ7DyLUBFAWZOlYGdAvLPCGFcCe1qZJ&#10;EkKdQgrRCodpDesGcwwKy9C0Ngk8sH/fl4+LcG8l3bS+o5+VQUYQY0Dmm+6wO6CSB9na9U6VD5BF&#10;RoWyB2UaGo0yf0ekh5K3iexfe2p4RMRv0mdikRWFL5LYm+dLKLARMU/mdthbztIccp9KBt42kRub&#10;ly7QuNemrRvYLEWwUnl9VC2mlA81BAbH6Dug03BK/4Ng56NgP0CqgxIFhzJ3qthBv16Bnv1nmgMl&#10;YaFazZJiVmAZwtQLpW4G5S0bSl2aFss51rKfIzrKGJduNurjqfB87FJ5uQYle4kg4QHYUfb8Z7r4&#10;utz+idpoJWjDA38mzLE6VUFLIxUvyAcl/Jilk3ysZlct1Mkbat0tNfBMgFP2mnoPn0ooqHNqaEXE&#10;q+yl8W/T4KjIlzQ4W+TLBUQg992lggIMtzdEiE2vWifGZmVU9wleSVuvfpgaVbsbm6Nq4ZXF+HaL&#10;RvA60dTdyDvNRhX7m+Dj4RM1erguHJTbd+HaQ85Pbo1gG7Lwi/rH6xveOFjah/eYf0Qd9/HMHl+N&#10;F/8AAAD//wMAUEsDBBQABgAIAAAAIQD+cLPe4wAAAAwBAAAPAAAAZHJzL2Rvd25yZXYueG1sTI9B&#10;S8NAEIXvgv9hGcGb3U3SlhqzKaWopyLYCuJtm0yT0OxsyG6T9N87PelpZniPN9/L1pNtxYC9bxxp&#10;iGYKBFLhyoYqDV+Ht6cVCB8MlaZ1hBqu6GGd399lJi3dSJ847EMlOIR8ajTUIXSplL6o0Ro/cx0S&#10;ayfXWxP47CtZ9mbkcNvKWKmltKYh/lCbDrc1Fuf9xWp4H824SaLXYXc+ba8/h8XH9y5CrR8fps0L&#10;iIBT+DPDDZ/RIWemo7tQ6UWrYRUl3CVomMc8b4ZYLecgjrwt1HMCMs/k/xL5LwAAAP//AwBQSwEC&#10;LQAUAAYACAAAACEAtoM4kv4AAADhAQAAEwAAAAAAAAAAAAAAAAAAAAAAW0NvbnRlbnRfVHlwZXNd&#10;LnhtbFBLAQItABQABgAIAAAAIQA4/SH/1gAAAJQBAAALAAAAAAAAAAAAAAAAAC8BAABfcmVscy8u&#10;cmVsc1BLAQItABQABgAIAAAAIQAT57YO6wMAAH0KAAAOAAAAAAAAAAAAAAAAAC4CAABkcnMvZTJv&#10;RG9jLnhtbFBLAQItABQABgAIAAAAIQD+cLPe4wAAAAwBAAAPAAAAAAAAAAAAAAAAAEUGAABkcnMv&#10;ZG93bnJldi54bWxQSwUGAAAAAAQABADzAAAAVQcAAAAA&#10;">
                <v:rect id="AutoShape 14" o:spid="_x0000_s1028" style="position:absolute;left:714;top:-95;width:24759;height:9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3199E4D4" w14:textId="24A7B161" w:rsidR="004F0D42" w:rsidRDefault="004F0D42" w:rsidP="004F0D42"/>
                      <w:p w14:paraId="75F7B412" w14:textId="0B5D24E6" w:rsidR="004F0D42" w:rsidRDefault="004F0D42" w:rsidP="004F0D42"/>
                      <w:p w14:paraId="25707E3C" w14:textId="6CD189C8" w:rsidR="004F0D42" w:rsidRPr="004F0D42" w:rsidRDefault="004F0D42" w:rsidP="004F0D42">
                        <w:pPr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</w:pPr>
                        <w:r w:rsidRPr="004F0D42"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  <w:t>Who can refer a client?</w:t>
                        </w:r>
                      </w:p>
                      <w:p w14:paraId="2D191CD2" w14:textId="729A0A8C" w:rsidR="00ED6078" w:rsidRPr="004F0D42" w:rsidRDefault="004F0D42" w:rsidP="004F0D42">
                        <w:pPr>
                          <w:jc w:val="both"/>
                          <w:rPr>
                            <w:rFonts w:ascii="Century Gothic" w:hAnsi="Century Gothic"/>
                            <w:color w:val="44546A" w:themeColor="text2"/>
                          </w:rPr>
                        </w:pPr>
                        <w:r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 xml:space="preserve">(A) </w:t>
                        </w:r>
                        <w:r w:rsidR="00ED6078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>Anyone can refer a client to FBH. Potential clients can self-refer or</w:t>
                        </w:r>
                        <w:r w:rsidR="00234FEB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 xml:space="preserve"> give us a call to get started.</w:t>
                        </w:r>
                      </w:p>
                      <w:p w14:paraId="2D191CD3" w14:textId="77777777" w:rsidR="00234FEB" w:rsidRPr="004F0D42" w:rsidRDefault="00234FEB" w:rsidP="00234FEB">
                        <w:pPr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</w:pPr>
                        <w:r w:rsidRPr="004F0D42"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  <w:t>Do I have to complete the entire referral form?</w:t>
                        </w:r>
                      </w:p>
                      <w:p w14:paraId="2D191CD4" w14:textId="4A934DBF" w:rsidR="00234FEB" w:rsidRPr="004F0D42" w:rsidRDefault="00234FEB" w:rsidP="00234FEB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Century Gothic" w:hAnsi="Century Gothic"/>
                            <w:color w:val="44546A" w:themeColor="text2"/>
                          </w:rPr>
                        </w:pPr>
                        <w:r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>No, only complete as much as you can. The remaining sections will be complete</w:t>
                        </w:r>
                        <w:r w:rsidR="00BB7C5C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>d</w:t>
                        </w:r>
                        <w:r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 xml:space="preserve"> during intake.</w:t>
                        </w:r>
                      </w:p>
                      <w:p w14:paraId="2D191CD5" w14:textId="77777777" w:rsidR="00ED6078" w:rsidRPr="004F0D42" w:rsidRDefault="00ED6078" w:rsidP="00ED6078">
                        <w:pPr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</w:pPr>
                        <w:r w:rsidRPr="004F0D42"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  <w:t>What happens if the client does not meet eligibility?</w:t>
                        </w:r>
                      </w:p>
                      <w:p w14:paraId="2D191CD6" w14:textId="0CBED141" w:rsidR="00ED6078" w:rsidRPr="004F0D42" w:rsidRDefault="00ED5319" w:rsidP="00ED531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entury Gothic" w:hAnsi="Century Gothic"/>
                            <w:color w:val="44546A" w:themeColor="text2"/>
                          </w:rPr>
                        </w:pPr>
                        <w:r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 xml:space="preserve">We will notify the family and make recommendations and or </w:t>
                        </w:r>
                        <w:r w:rsidR="00ED6078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>referrals to other community services that may be helpful.</w:t>
                        </w:r>
                      </w:p>
                      <w:p w14:paraId="2D191CD7" w14:textId="77777777" w:rsidR="00ED6078" w:rsidRPr="004F0D42" w:rsidRDefault="00ED6078" w:rsidP="00ED6078">
                        <w:pPr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</w:pPr>
                        <w:r w:rsidRPr="004F0D42"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  <w:t>Can a client only utilize your assessment services and not utilize other services?</w:t>
                        </w:r>
                      </w:p>
                      <w:p w14:paraId="2D191CD8" w14:textId="1A25C3E1" w:rsidR="00ED6078" w:rsidRPr="004F0D42" w:rsidRDefault="00ED6078" w:rsidP="00ED607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Century Gothic" w:hAnsi="Century Gothic"/>
                            <w:color w:val="44546A" w:themeColor="text2"/>
                          </w:rPr>
                        </w:pPr>
                        <w:r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>Yes, it is the cl</w:t>
                        </w:r>
                        <w:r w:rsidR="00234FEB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>ient</w:t>
                        </w:r>
                        <w:r w:rsidR="003B1636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>’</w:t>
                        </w:r>
                        <w:r w:rsidR="00234FEB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>s/</w:t>
                        </w:r>
                        <w:r w:rsidR="005A0D74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>g</w:t>
                        </w:r>
                        <w:r w:rsidR="00234FEB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>uardian</w:t>
                        </w:r>
                        <w:r w:rsidR="003B1636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>’</w:t>
                        </w:r>
                        <w:r w:rsidR="00234FEB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 xml:space="preserve">s right to </w:t>
                        </w:r>
                        <w:r w:rsidR="005A0D74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 xml:space="preserve">choose to </w:t>
                        </w:r>
                        <w:r w:rsidR="00234FEB"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 xml:space="preserve">engage in treatment. </w:t>
                        </w:r>
                      </w:p>
                      <w:p w14:paraId="2D191CD9" w14:textId="77777777" w:rsidR="00234FEB" w:rsidRPr="004F0D42" w:rsidRDefault="00234FEB" w:rsidP="00234FEB">
                        <w:pPr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</w:pPr>
                        <w:r w:rsidRPr="004F0D42"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  <w:t xml:space="preserve">In the case of </w:t>
                        </w:r>
                        <w:r w:rsidR="003B1636" w:rsidRPr="004F0D42"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  <w:t xml:space="preserve">a </w:t>
                        </w:r>
                        <w:r w:rsidRPr="004F0D42"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  <w:t>social worker as a guardian</w:t>
                        </w:r>
                        <w:r w:rsidR="003B1636" w:rsidRPr="004F0D42"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  <w:t xml:space="preserve">, </w:t>
                        </w:r>
                        <w:r w:rsidRPr="004F0D42">
                          <w:rPr>
                            <w:rFonts w:ascii="Century Gothic" w:hAnsi="Century Gothic"/>
                            <w:b/>
                            <w:color w:val="44546A" w:themeColor="text2"/>
                          </w:rPr>
                          <w:t>does the guardian have to be present during the assessment and or treatment sessions?</w:t>
                        </w:r>
                      </w:p>
                      <w:p w14:paraId="2D191CDA" w14:textId="77777777" w:rsidR="00234FEB" w:rsidRPr="004F0D42" w:rsidRDefault="00234FEB" w:rsidP="00234FEB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Century Gothic" w:hAnsi="Century Gothic"/>
                            <w:color w:val="44546A" w:themeColor="text2"/>
                          </w:rPr>
                        </w:pPr>
                        <w:r w:rsidRPr="004F0D42">
                          <w:rPr>
                            <w:rFonts w:ascii="Century Gothic" w:hAnsi="Century Gothic"/>
                            <w:color w:val="44546A" w:themeColor="text2"/>
                          </w:rPr>
                          <w:t xml:space="preserve">No, however the social worker will have to sign and authorize treatment and authorization to release information to work with foster parents. </w:t>
                        </w: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5JwgAAANwAAAAPAAAAZHJzL2Rvd25yZXYueG1sRI/BisJA&#10;EETvgv8wtOBNJ+qiEh1FBGFPLqse9NZk2iSY7gmZWY1/7wjCHouqekUt1y1X6k6NL50YGA0TUCSZ&#10;s6XkBk7H3WAOygcUi5UTMvAkD+tVt7PE1LqH/NL9EHIVIeJTNFCEUKda+6wgRj90NUn0rq5hDFE2&#10;ubYNPiKcKz1OkqlmLCUuFFjTtqDsdvhjA9l2/3OZ7WQSpucrV1xO2LdiTL/XbhagArXhP/xpf1sD&#10;49EXvM/EI6BXLwAAAP//AwBQSwECLQAUAAYACAAAACEA2+H2y+4AAACFAQAAEwAAAAAAAAAAAAAA&#10;AAAAAAAAW0NvbnRlbnRfVHlwZXNdLnhtbFBLAQItABQABgAIAAAAIQBa9CxbvwAAABUBAAALAAAA&#10;AAAAAAAAAAAAAB8BAABfcmVscy8ucmVsc1BLAQItABQABgAIAAAAIQCLWE5JwgAAANwAAAAPAAAA&#10;AAAAAAAAAAAAAAcCAABkcnMvZG93bnJldi54bWxQSwUGAAAAAAMAAwC3AAAA9gIAAAAA&#10;" fillcolor="#a5a5a5 [3206]" stroked="f">
                  <v:textbox inset="14.4pt,14.4pt,14.4pt,28.8pt">
                    <w:txbxContent>
                      <w:p w14:paraId="2D191CDC" w14:textId="77777777" w:rsidR="00ED6078" w:rsidRDefault="00ED607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76D75" w:rsidRPr="00EF362D">
        <w:rPr>
          <w:b/>
        </w:rPr>
        <w:t>Step One</w:t>
      </w:r>
    </w:p>
    <w:p w14:paraId="2D191CBF" w14:textId="44A78ED9" w:rsidR="00ED6078" w:rsidRPr="00234FEB" w:rsidRDefault="00076D75" w:rsidP="00D725D5">
      <w:pPr>
        <w:spacing w:after="0"/>
        <w:rPr>
          <w:rFonts w:ascii="Century Gothic" w:hAnsi="Century Gothic"/>
        </w:rPr>
      </w:pPr>
      <w:r w:rsidRPr="00234FEB">
        <w:rPr>
          <w:rFonts w:ascii="Century Gothic" w:hAnsi="Century Gothic"/>
        </w:rPr>
        <w:t>Complete a referral form found online under the “</w:t>
      </w:r>
      <w:r w:rsidR="005A614E">
        <w:rPr>
          <w:rFonts w:ascii="Century Gothic" w:hAnsi="Century Gothic"/>
        </w:rPr>
        <w:t>Contact Us</w:t>
      </w:r>
      <w:r w:rsidRPr="00234FEB">
        <w:rPr>
          <w:rFonts w:ascii="Century Gothic" w:hAnsi="Century Gothic"/>
        </w:rPr>
        <w:t>” tab</w:t>
      </w:r>
      <w:r w:rsidR="00234FEB">
        <w:rPr>
          <w:rFonts w:ascii="Century Gothic" w:hAnsi="Century Gothic"/>
        </w:rPr>
        <w:t xml:space="preserve"> of our website</w:t>
      </w:r>
      <w:r w:rsidR="00E24E16" w:rsidRPr="00E24E16">
        <w:t xml:space="preserve"> </w:t>
      </w:r>
      <w:r w:rsidR="00E24E16" w:rsidRPr="00E24E16">
        <w:rPr>
          <w:rFonts w:ascii="Century Gothic" w:hAnsi="Century Gothic"/>
        </w:rPr>
        <w:t>and then click on “Referral</w:t>
      </w:r>
      <w:r w:rsidR="00E24E16">
        <w:rPr>
          <w:rFonts w:ascii="Century Gothic" w:hAnsi="Century Gothic"/>
        </w:rPr>
        <w:t>.</w:t>
      </w:r>
      <w:r w:rsidR="00E24E16" w:rsidRPr="00E24E16">
        <w:rPr>
          <w:rFonts w:ascii="Century Gothic" w:hAnsi="Century Gothic"/>
        </w:rPr>
        <w:t>”</w:t>
      </w:r>
      <w:r w:rsidRPr="00234FEB">
        <w:rPr>
          <w:rFonts w:ascii="Century Gothic" w:hAnsi="Century Gothic"/>
        </w:rPr>
        <w:t xml:space="preserve"> </w:t>
      </w:r>
      <w:r w:rsidR="009271BF">
        <w:rPr>
          <w:rFonts w:ascii="Century Gothic" w:hAnsi="Century Gothic"/>
        </w:rPr>
        <w:t>Once you have completed the form, simply click “Submit” at the bottom of the page</w:t>
      </w:r>
      <w:r w:rsidR="00615043">
        <w:rPr>
          <w:rFonts w:ascii="Century Gothic" w:hAnsi="Century Gothic"/>
        </w:rPr>
        <w:t>.</w:t>
      </w:r>
      <w:r w:rsidR="009271BF">
        <w:rPr>
          <w:rFonts w:ascii="Century Gothic" w:hAnsi="Century Gothic"/>
        </w:rPr>
        <w:t xml:space="preserve"> </w:t>
      </w:r>
      <w:r w:rsidR="00615043">
        <w:rPr>
          <w:rFonts w:ascii="Century Gothic" w:hAnsi="Century Gothic"/>
        </w:rPr>
        <w:t>Printable forms are available under the “Downloads” tab of our website and can be sent to us</w:t>
      </w:r>
      <w:r w:rsidR="009271BF">
        <w:rPr>
          <w:rFonts w:ascii="Century Gothic" w:hAnsi="Century Gothic"/>
        </w:rPr>
        <w:t xml:space="preserve"> </w:t>
      </w:r>
      <w:r w:rsidRPr="00234FEB">
        <w:rPr>
          <w:rFonts w:ascii="Century Gothic" w:hAnsi="Century Gothic"/>
        </w:rPr>
        <w:t xml:space="preserve">either as an attachment to </w:t>
      </w:r>
      <w:hyperlink r:id="rId8" w:history="1">
        <w:r w:rsidR="00B205D1" w:rsidRPr="003C5A57">
          <w:rPr>
            <w:rStyle w:val="Hyperlink"/>
            <w:rFonts w:ascii="Century Gothic" w:hAnsi="Century Gothic"/>
            <w:color w:val="009999"/>
          </w:rPr>
          <w:t>Info@fbhnv.com</w:t>
        </w:r>
      </w:hyperlink>
      <w:r w:rsidR="00B205D1" w:rsidRPr="003C5A57">
        <w:rPr>
          <w:rFonts w:ascii="Century Gothic" w:hAnsi="Century Gothic"/>
          <w:color w:val="009999"/>
        </w:rPr>
        <w:t xml:space="preserve"> </w:t>
      </w:r>
      <w:r w:rsidRPr="00234FEB">
        <w:rPr>
          <w:rFonts w:ascii="Century Gothic" w:hAnsi="Century Gothic"/>
        </w:rPr>
        <w:t xml:space="preserve">or by fax at (775) </w:t>
      </w:r>
      <w:r w:rsidR="00ED5319">
        <w:rPr>
          <w:rFonts w:ascii="Century Gothic" w:hAnsi="Century Gothic"/>
        </w:rPr>
        <w:t>525-3889</w:t>
      </w:r>
      <w:r w:rsidRPr="00234FEB">
        <w:rPr>
          <w:rFonts w:ascii="Century Gothic" w:hAnsi="Century Gothic"/>
        </w:rPr>
        <w:t>.</w:t>
      </w:r>
      <w:bookmarkStart w:id="0" w:name="_GoBack"/>
      <w:bookmarkEnd w:id="0"/>
    </w:p>
    <w:p w14:paraId="2D191CC0" w14:textId="3B6093BB" w:rsidR="00AD2316" w:rsidRPr="00EF362D" w:rsidRDefault="00076D75" w:rsidP="00234FEB">
      <w:pPr>
        <w:pStyle w:val="IntenseQuote"/>
        <w:rPr>
          <w:b/>
          <w:i w:val="0"/>
        </w:rPr>
      </w:pPr>
      <w:r w:rsidRPr="00EF362D">
        <w:rPr>
          <w:b/>
          <w:i w:val="0"/>
        </w:rPr>
        <w:t xml:space="preserve">Step Two </w:t>
      </w:r>
    </w:p>
    <w:p w14:paraId="2D191CC1" w14:textId="28EAD857" w:rsidR="00076D75" w:rsidRPr="00234FEB" w:rsidRDefault="00421662" w:rsidP="00D725D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When </w:t>
      </w:r>
      <w:r w:rsidR="00076D75" w:rsidRPr="00234FEB">
        <w:rPr>
          <w:rFonts w:ascii="Century Gothic" w:hAnsi="Century Gothic"/>
        </w:rPr>
        <w:t xml:space="preserve">we receive the referral </w:t>
      </w:r>
      <w:r w:rsidRPr="00234FEB">
        <w:rPr>
          <w:rFonts w:ascii="Century Gothic" w:hAnsi="Century Gothic"/>
        </w:rPr>
        <w:t>form,</w:t>
      </w:r>
      <w:r w:rsidR="00076D75" w:rsidRPr="00234FEB">
        <w:rPr>
          <w:rFonts w:ascii="Century Gothic" w:hAnsi="Century Gothic"/>
        </w:rPr>
        <w:t xml:space="preserve"> we will verify eligibility. Once cleared we will contact the client or client’s guardian in the case of a minor to schedule the initial assessment. </w:t>
      </w:r>
      <w:r w:rsidR="00B205D1" w:rsidRPr="00B205D1">
        <w:rPr>
          <w:rFonts w:ascii="Century Gothic" w:hAnsi="Century Gothic"/>
        </w:rPr>
        <w:t>Assessments are completed over 2 to 3</w:t>
      </w:r>
      <w:r w:rsidR="00B205D1">
        <w:rPr>
          <w:rFonts w:ascii="Century Gothic" w:hAnsi="Century Gothic"/>
        </w:rPr>
        <w:t>,</w:t>
      </w:r>
      <w:r w:rsidR="00B205D1" w:rsidRPr="00B205D1">
        <w:rPr>
          <w:rFonts w:ascii="Century Gothic" w:hAnsi="Century Gothic"/>
        </w:rPr>
        <w:t xml:space="preserve"> 50 min sessions. </w:t>
      </w:r>
      <w:r w:rsidR="00076D75" w:rsidRPr="00234FEB">
        <w:rPr>
          <w:rFonts w:ascii="Century Gothic" w:hAnsi="Century Gothic"/>
        </w:rPr>
        <w:t>Prior to the assessment we</w:t>
      </w:r>
      <w:r w:rsidR="005E2DA0" w:rsidRPr="00234FEB">
        <w:rPr>
          <w:rFonts w:ascii="Century Gothic" w:hAnsi="Century Gothic"/>
        </w:rPr>
        <w:t xml:space="preserve"> ask that the guardian provide us with information and documentation that would be useful for the assessment. In addition</w:t>
      </w:r>
      <w:r w:rsidR="00A3127D">
        <w:rPr>
          <w:rFonts w:ascii="Century Gothic" w:hAnsi="Century Gothic"/>
        </w:rPr>
        <w:t>,</w:t>
      </w:r>
      <w:r w:rsidR="005E2DA0" w:rsidRPr="00234FEB">
        <w:rPr>
          <w:rFonts w:ascii="Century Gothic" w:hAnsi="Century Gothic"/>
        </w:rPr>
        <w:t xml:space="preserve"> we will</w:t>
      </w:r>
      <w:r w:rsidR="00076D75" w:rsidRPr="00234FEB">
        <w:rPr>
          <w:rFonts w:ascii="Century Gothic" w:hAnsi="Century Gothic"/>
        </w:rPr>
        <w:t xml:space="preserve"> request written authorization from the guardian to collect pertinent documentation: </w:t>
      </w:r>
      <w:r w:rsidR="00ED6078" w:rsidRPr="00234FEB">
        <w:rPr>
          <w:rFonts w:ascii="Century Gothic" w:hAnsi="Century Gothic"/>
        </w:rPr>
        <w:t>i.e.</w:t>
      </w:r>
      <w:r w:rsidR="00076D75" w:rsidRPr="00234FEB">
        <w:rPr>
          <w:rFonts w:ascii="Century Gothic" w:hAnsi="Century Gothic"/>
        </w:rPr>
        <w:t xml:space="preserve"> IEP, past psychiatric assessments, other testing, and medical r</w:t>
      </w:r>
      <w:r w:rsidR="005E2DA0" w:rsidRPr="00234FEB">
        <w:rPr>
          <w:rFonts w:ascii="Century Gothic" w:hAnsi="Century Gothic"/>
        </w:rPr>
        <w:t xml:space="preserve">ecords etc. </w:t>
      </w:r>
    </w:p>
    <w:p w14:paraId="2D191CC2" w14:textId="5FFA8C72" w:rsidR="00076D75" w:rsidRPr="00EF362D" w:rsidRDefault="00076D75" w:rsidP="00234FEB">
      <w:pPr>
        <w:pStyle w:val="IntenseQuote"/>
        <w:rPr>
          <w:b/>
          <w:i w:val="0"/>
        </w:rPr>
      </w:pPr>
      <w:r w:rsidRPr="00EF362D">
        <w:rPr>
          <w:b/>
          <w:i w:val="0"/>
        </w:rPr>
        <w:t>Step Three</w:t>
      </w:r>
    </w:p>
    <w:p w14:paraId="2D191CC4" w14:textId="552181A5" w:rsidR="00ED6078" w:rsidRDefault="00076D75" w:rsidP="00076D75">
      <w:pPr>
        <w:rPr>
          <w:rFonts w:ascii="Century Gothic" w:hAnsi="Century Gothic"/>
        </w:rPr>
      </w:pPr>
      <w:r w:rsidRPr="00234FEB">
        <w:rPr>
          <w:rFonts w:ascii="Century Gothic" w:hAnsi="Century Gothic"/>
        </w:rPr>
        <w:t xml:space="preserve">After </w:t>
      </w:r>
      <w:r w:rsidR="00ED6078" w:rsidRPr="00234FEB">
        <w:rPr>
          <w:rFonts w:ascii="Century Gothic" w:hAnsi="Century Gothic"/>
        </w:rPr>
        <w:t>the assessment the clinician</w:t>
      </w:r>
      <w:r w:rsidRPr="00234FEB">
        <w:rPr>
          <w:rFonts w:ascii="Century Gothic" w:hAnsi="Century Gothic"/>
        </w:rPr>
        <w:t xml:space="preserve"> will determine eligibility for a mental health diagnosis as well as recommendations for treatment </w:t>
      </w:r>
      <w:r w:rsidR="005E2DA0" w:rsidRPr="00234FEB">
        <w:rPr>
          <w:rFonts w:ascii="Century Gothic" w:hAnsi="Century Gothic"/>
        </w:rPr>
        <w:t>i.e.</w:t>
      </w:r>
      <w:r w:rsidRPr="00234FEB">
        <w:rPr>
          <w:rFonts w:ascii="Century Gothic" w:hAnsi="Century Gothic"/>
        </w:rPr>
        <w:t xml:space="preserve"> </w:t>
      </w:r>
      <w:r w:rsidR="005E2DA0" w:rsidRPr="00234FEB">
        <w:rPr>
          <w:rFonts w:ascii="Century Gothic" w:hAnsi="Century Gothic"/>
        </w:rPr>
        <w:t>Therapy and Rehabilitation services</w:t>
      </w:r>
      <w:r w:rsidR="00ED6078" w:rsidRPr="00234FEB">
        <w:rPr>
          <w:rFonts w:ascii="Century Gothic" w:hAnsi="Century Gothic"/>
        </w:rPr>
        <w:t xml:space="preserve"> etc</w:t>
      </w:r>
      <w:r w:rsidR="005E2DA0" w:rsidRPr="00234FEB">
        <w:rPr>
          <w:rFonts w:ascii="Century Gothic" w:hAnsi="Century Gothic"/>
        </w:rPr>
        <w:t>. B</w:t>
      </w:r>
      <w:r w:rsidRPr="00234FEB">
        <w:rPr>
          <w:rFonts w:ascii="Century Gothic" w:hAnsi="Century Gothic"/>
        </w:rPr>
        <w:t xml:space="preserve">ased on the recommendation and </w:t>
      </w:r>
      <w:r w:rsidR="00ED6078" w:rsidRPr="00234FEB">
        <w:rPr>
          <w:rFonts w:ascii="Century Gothic" w:hAnsi="Century Gothic"/>
        </w:rPr>
        <w:t xml:space="preserve">the </w:t>
      </w:r>
      <w:r w:rsidR="00A3127D">
        <w:rPr>
          <w:rFonts w:ascii="Century Gothic" w:hAnsi="Century Gothic"/>
        </w:rPr>
        <w:t>client</w:t>
      </w:r>
      <w:r w:rsidR="003B1636">
        <w:rPr>
          <w:rFonts w:ascii="Century Gothic" w:hAnsi="Century Gothic"/>
        </w:rPr>
        <w:t>’</w:t>
      </w:r>
      <w:r w:rsidR="00A3127D">
        <w:rPr>
          <w:rFonts w:ascii="Century Gothic" w:hAnsi="Century Gothic"/>
        </w:rPr>
        <w:t>s/</w:t>
      </w:r>
      <w:r w:rsidR="00ED6078" w:rsidRPr="00234FEB">
        <w:rPr>
          <w:rFonts w:ascii="Century Gothic" w:hAnsi="Century Gothic"/>
        </w:rPr>
        <w:t>guardian’s approval</w:t>
      </w:r>
      <w:r w:rsidRPr="00234FEB">
        <w:rPr>
          <w:rFonts w:ascii="Century Gothic" w:hAnsi="Century Gothic"/>
        </w:rPr>
        <w:t xml:space="preserve"> we would begin services which may or may not require a prior authorization</w:t>
      </w:r>
      <w:r w:rsidR="005E2DA0" w:rsidRPr="00234FEB">
        <w:rPr>
          <w:rFonts w:ascii="Century Gothic" w:hAnsi="Century Gothic"/>
        </w:rPr>
        <w:t xml:space="preserve">. An individualized </w:t>
      </w:r>
      <w:r w:rsidR="003B1636">
        <w:rPr>
          <w:rFonts w:ascii="Century Gothic" w:hAnsi="Century Gothic"/>
        </w:rPr>
        <w:t>treatment p</w:t>
      </w:r>
      <w:r w:rsidR="005E2DA0" w:rsidRPr="00234FEB">
        <w:rPr>
          <w:rFonts w:ascii="Century Gothic" w:hAnsi="Century Gothic"/>
        </w:rPr>
        <w:t>lan is developed with the client</w:t>
      </w:r>
      <w:r w:rsidR="003B1636">
        <w:rPr>
          <w:rFonts w:ascii="Century Gothic" w:hAnsi="Century Gothic"/>
        </w:rPr>
        <w:t xml:space="preserve"> and stakeholders</w:t>
      </w:r>
      <w:r w:rsidR="0010466C">
        <w:rPr>
          <w:rFonts w:ascii="Century Gothic" w:hAnsi="Century Gothic"/>
        </w:rPr>
        <w:t xml:space="preserve"> and services will begin</w:t>
      </w:r>
      <w:r w:rsidR="003B1636">
        <w:rPr>
          <w:rFonts w:ascii="Century Gothic" w:hAnsi="Century Gothic"/>
        </w:rPr>
        <w:t xml:space="preserve">. </w:t>
      </w:r>
    </w:p>
    <w:p w14:paraId="77340549" w14:textId="67E1CA98" w:rsidR="00B205D1" w:rsidRDefault="00234FEB" w:rsidP="004367E2">
      <w:pPr>
        <w:pStyle w:val="Subtitle"/>
        <w:spacing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B205D1">
        <w:rPr>
          <w:rFonts w:ascii="Century Gothic" w:hAnsi="Century Gothic"/>
          <w:color w:val="595959" w:themeColor="text1" w:themeTint="A6"/>
          <w:sz w:val="20"/>
          <w:szCs w:val="20"/>
        </w:rPr>
        <w:t>Website:</w:t>
      </w:r>
      <w:r w:rsidR="00A3127D" w:rsidRPr="00B205D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bookmarkStart w:id="1" w:name="_Hlk5714732"/>
      <w:r w:rsidRPr="00B205D1">
        <w:rPr>
          <w:rFonts w:ascii="Century Gothic" w:hAnsi="Century Gothic"/>
          <w:color w:val="595959" w:themeColor="text1" w:themeTint="A6"/>
          <w:sz w:val="20"/>
          <w:szCs w:val="20"/>
        </w:rPr>
        <w:t>familybehavioralhealth.weebly.co</w:t>
      </w:r>
      <w:r w:rsidR="007551C1" w:rsidRPr="00B205D1">
        <w:rPr>
          <w:rFonts w:ascii="Century Gothic" w:hAnsi="Century Gothic"/>
          <w:color w:val="595959" w:themeColor="text1" w:themeTint="A6"/>
          <w:sz w:val="20"/>
          <w:szCs w:val="20"/>
        </w:rPr>
        <w:t xml:space="preserve">m </w:t>
      </w:r>
      <w:bookmarkEnd w:id="1"/>
    </w:p>
    <w:p w14:paraId="0E36F407" w14:textId="3B1A461F" w:rsidR="007551C1" w:rsidRDefault="005E2DA0" w:rsidP="004367E2">
      <w:pPr>
        <w:pStyle w:val="Subtitle"/>
        <w:spacing w:line="240" w:lineRule="auto"/>
      </w:pPr>
      <w:r w:rsidRPr="00B205D1">
        <w:rPr>
          <w:rFonts w:ascii="Century Gothic" w:hAnsi="Century Gothic"/>
          <w:color w:val="595959" w:themeColor="text1" w:themeTint="A6"/>
          <w:sz w:val="20"/>
          <w:szCs w:val="20"/>
        </w:rPr>
        <w:t>Link to services provided:</w:t>
      </w:r>
      <w:r w:rsidR="00B205D1" w:rsidRPr="00B205D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</w:p>
    <w:p w14:paraId="2562E02A" w14:textId="43A2AE28" w:rsidR="004367E2" w:rsidRPr="003C5A57" w:rsidRDefault="00EF362D" w:rsidP="004367E2">
      <w:pPr>
        <w:spacing w:line="240" w:lineRule="auto"/>
        <w:rPr>
          <w:rFonts w:ascii="Century Gothic" w:hAnsi="Century Gothic"/>
          <w:color w:val="009999"/>
        </w:rPr>
      </w:pPr>
      <w:hyperlink r:id="rId9" w:history="1">
        <w:r w:rsidR="004367E2" w:rsidRPr="003C5A57">
          <w:rPr>
            <w:rStyle w:val="Hyperlink"/>
            <w:rFonts w:ascii="Century Gothic" w:hAnsi="Century Gothic"/>
            <w:color w:val="009999"/>
          </w:rPr>
          <w:t>www.fbhnv.com</w:t>
        </w:r>
      </w:hyperlink>
    </w:p>
    <w:p w14:paraId="53000A19" w14:textId="77777777" w:rsidR="004367E2" w:rsidRPr="004367E2" w:rsidRDefault="004367E2" w:rsidP="004367E2">
      <w:pPr>
        <w:pStyle w:val="Footer"/>
        <w:rPr>
          <w:rFonts w:ascii="Century Gothic" w:hAnsi="Century Gothic"/>
          <w:color w:val="7F7F7F" w:themeColor="text1" w:themeTint="80"/>
        </w:rPr>
      </w:pPr>
      <w:r w:rsidRPr="004367E2">
        <w:rPr>
          <w:rFonts w:ascii="Century Gothic" w:hAnsi="Century Gothic"/>
          <w:color w:val="7F7F7F" w:themeColor="text1" w:themeTint="80"/>
        </w:rPr>
        <w:t xml:space="preserve">Address: 438 Pyramid Way Sparks, NV 89431 </w:t>
      </w:r>
    </w:p>
    <w:p w14:paraId="43904B8E" w14:textId="77777777" w:rsidR="004367E2" w:rsidRPr="004367E2" w:rsidRDefault="004367E2" w:rsidP="004367E2">
      <w:pPr>
        <w:pStyle w:val="Footer"/>
        <w:rPr>
          <w:rFonts w:ascii="Century Gothic" w:hAnsi="Century Gothic"/>
          <w:color w:val="7F7F7F" w:themeColor="text1" w:themeTint="80"/>
        </w:rPr>
      </w:pPr>
      <w:r w:rsidRPr="004367E2">
        <w:rPr>
          <w:rFonts w:ascii="Century Gothic" w:hAnsi="Century Gothic"/>
          <w:color w:val="7F7F7F" w:themeColor="text1" w:themeTint="80"/>
        </w:rPr>
        <w:t>Phone: 775-378-2775</w:t>
      </w:r>
    </w:p>
    <w:sectPr w:rsidR="004367E2" w:rsidRPr="004367E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1519" w14:textId="77777777" w:rsidR="00BB37AE" w:rsidRDefault="00BB37AE" w:rsidP="00AD2316">
      <w:pPr>
        <w:spacing w:after="0" w:line="240" w:lineRule="auto"/>
      </w:pPr>
      <w:r>
        <w:separator/>
      </w:r>
    </w:p>
  </w:endnote>
  <w:endnote w:type="continuationSeparator" w:id="0">
    <w:p w14:paraId="1FB466FF" w14:textId="77777777" w:rsidR="00BB37AE" w:rsidRDefault="00BB37AE" w:rsidP="00AD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CDDF" w14:textId="77777777" w:rsidR="00BB37AE" w:rsidRDefault="00BB37AE" w:rsidP="00AD2316">
      <w:pPr>
        <w:spacing w:after="0" w:line="240" w:lineRule="auto"/>
      </w:pPr>
      <w:r>
        <w:separator/>
      </w:r>
    </w:p>
  </w:footnote>
  <w:footnote w:type="continuationSeparator" w:id="0">
    <w:p w14:paraId="402F6D5E" w14:textId="77777777" w:rsidR="00BB37AE" w:rsidRDefault="00BB37AE" w:rsidP="00AD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0B2C" w14:textId="2512A1B6" w:rsidR="00421662" w:rsidRPr="00421662" w:rsidRDefault="00421662" w:rsidP="00421662">
    <w:pPr>
      <w:pStyle w:val="Heading2"/>
      <w:rPr>
        <w:sz w:val="32"/>
        <w:szCs w:val="32"/>
      </w:rPr>
    </w:pPr>
    <w:r>
      <w:rPr>
        <w:sz w:val="32"/>
        <w:szCs w:val="32"/>
      </w:rPr>
      <w:t xml:space="preserve">       </w:t>
    </w:r>
    <w:r w:rsidRPr="00421662">
      <w:rPr>
        <w:sz w:val="32"/>
        <w:szCs w:val="32"/>
      </w:rPr>
      <w:t>REFERAL PROCESS FOR PROVIDERS</w:t>
    </w:r>
  </w:p>
  <w:p w14:paraId="2D191CCD" w14:textId="2FAB3A58" w:rsidR="00AD2316" w:rsidRPr="0000464E" w:rsidRDefault="00AD2316" w:rsidP="00234FEB">
    <w:pPr>
      <w:pStyle w:val="Heading2"/>
      <w:rPr>
        <w:rFonts w:ascii="Century Gothic" w:hAnsi="Century Gothi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8E0"/>
    <w:multiLevelType w:val="multilevel"/>
    <w:tmpl w:val="4A6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81622"/>
    <w:multiLevelType w:val="hybridMultilevel"/>
    <w:tmpl w:val="7E6EA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F0D5B"/>
    <w:multiLevelType w:val="hybridMultilevel"/>
    <w:tmpl w:val="F7283FCA"/>
    <w:lvl w:ilvl="0" w:tplc="0CC8D8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54C5D"/>
    <w:multiLevelType w:val="hybridMultilevel"/>
    <w:tmpl w:val="C3CC1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439D4"/>
    <w:multiLevelType w:val="hybridMultilevel"/>
    <w:tmpl w:val="879C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54BE7"/>
    <w:multiLevelType w:val="multilevel"/>
    <w:tmpl w:val="4AA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45EF9"/>
    <w:multiLevelType w:val="multilevel"/>
    <w:tmpl w:val="96B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806B4E"/>
    <w:multiLevelType w:val="hybridMultilevel"/>
    <w:tmpl w:val="329AABBC"/>
    <w:lvl w:ilvl="0" w:tplc="A426D3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AB0D75"/>
    <w:multiLevelType w:val="hybridMultilevel"/>
    <w:tmpl w:val="909AC720"/>
    <w:lvl w:ilvl="0" w:tplc="526E9C5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EA6ECF"/>
    <w:multiLevelType w:val="hybridMultilevel"/>
    <w:tmpl w:val="A19452A2"/>
    <w:lvl w:ilvl="0" w:tplc="3F68F7B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992F3E"/>
    <w:multiLevelType w:val="hybridMultilevel"/>
    <w:tmpl w:val="DEEE15D0"/>
    <w:lvl w:ilvl="0" w:tplc="82AEBA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DF02B6"/>
    <w:multiLevelType w:val="hybridMultilevel"/>
    <w:tmpl w:val="9B602D94"/>
    <w:lvl w:ilvl="0" w:tplc="AD04FE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45D57"/>
    <w:multiLevelType w:val="multilevel"/>
    <w:tmpl w:val="47D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941843"/>
    <w:multiLevelType w:val="hybridMultilevel"/>
    <w:tmpl w:val="D0C0FA92"/>
    <w:lvl w:ilvl="0" w:tplc="09426B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C07D1"/>
    <w:multiLevelType w:val="multilevel"/>
    <w:tmpl w:val="2A90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14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73"/>
    <w:rsid w:val="000029E8"/>
    <w:rsid w:val="0000464E"/>
    <w:rsid w:val="00076D75"/>
    <w:rsid w:val="0010466C"/>
    <w:rsid w:val="001C25AC"/>
    <w:rsid w:val="00234FEB"/>
    <w:rsid w:val="00326EBC"/>
    <w:rsid w:val="003B1636"/>
    <w:rsid w:val="003C5A57"/>
    <w:rsid w:val="00421662"/>
    <w:rsid w:val="004367E2"/>
    <w:rsid w:val="004926A4"/>
    <w:rsid w:val="004E1166"/>
    <w:rsid w:val="004F0D42"/>
    <w:rsid w:val="005A0D74"/>
    <w:rsid w:val="005A614E"/>
    <w:rsid w:val="005E2DA0"/>
    <w:rsid w:val="00615043"/>
    <w:rsid w:val="007222D5"/>
    <w:rsid w:val="007551C1"/>
    <w:rsid w:val="007E1068"/>
    <w:rsid w:val="008E5F64"/>
    <w:rsid w:val="009271BF"/>
    <w:rsid w:val="00A3127D"/>
    <w:rsid w:val="00AD2316"/>
    <w:rsid w:val="00B205D1"/>
    <w:rsid w:val="00B52573"/>
    <w:rsid w:val="00BB37AE"/>
    <w:rsid w:val="00BB7C5C"/>
    <w:rsid w:val="00C73183"/>
    <w:rsid w:val="00C80FFF"/>
    <w:rsid w:val="00CB571E"/>
    <w:rsid w:val="00D725D5"/>
    <w:rsid w:val="00DD6100"/>
    <w:rsid w:val="00E24E16"/>
    <w:rsid w:val="00ED5319"/>
    <w:rsid w:val="00ED6078"/>
    <w:rsid w:val="00E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191CBD"/>
  <w15:chartTrackingRefBased/>
  <w15:docId w15:val="{22CE606F-2958-443C-AF0F-3FC6A2D1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6D75"/>
    <w:pPr>
      <w:spacing w:after="0" w:line="240" w:lineRule="auto"/>
      <w:outlineLvl w:val="1"/>
    </w:pPr>
    <w:rPr>
      <w:rFonts w:ascii="Arial" w:eastAsia="Times New Roman" w:hAnsi="Arial" w:cs="Arial"/>
      <w:b/>
      <w:bCs/>
      <w:caps/>
      <w:color w:val="53BDB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316"/>
  </w:style>
  <w:style w:type="paragraph" w:styleId="Footer">
    <w:name w:val="footer"/>
    <w:basedOn w:val="Normal"/>
    <w:link w:val="FooterChar"/>
    <w:uiPriority w:val="99"/>
    <w:unhideWhenUsed/>
    <w:rsid w:val="00AD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316"/>
  </w:style>
  <w:style w:type="paragraph" w:styleId="Title">
    <w:name w:val="Title"/>
    <w:basedOn w:val="Normal"/>
    <w:next w:val="Normal"/>
    <w:link w:val="TitleChar"/>
    <w:uiPriority w:val="10"/>
    <w:qFormat/>
    <w:rsid w:val="00AD2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76D75"/>
    <w:rPr>
      <w:rFonts w:ascii="Arial" w:eastAsia="Times New Roman" w:hAnsi="Arial" w:cs="Arial"/>
      <w:b/>
      <w:bCs/>
      <w:caps/>
      <w:color w:val="53BDBC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076D75"/>
    <w:rPr>
      <w:strike w:val="0"/>
      <w:dstrike w:val="0"/>
      <w:color w:val="53BD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76D75"/>
    <w:rPr>
      <w:i/>
      <w:iCs/>
    </w:rPr>
  </w:style>
  <w:style w:type="paragraph" w:styleId="ListParagraph">
    <w:name w:val="List Paragraph"/>
    <w:basedOn w:val="Normal"/>
    <w:uiPriority w:val="34"/>
    <w:qFormat/>
    <w:rsid w:val="00076D7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1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Century Gothic" w:hAnsi="Century Gothic"/>
      <w:i/>
      <w:iCs/>
      <w:color w:val="3B3838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183"/>
    <w:rPr>
      <w:rFonts w:ascii="Century Gothic" w:hAnsi="Century Gothic"/>
      <w:i/>
      <w:iCs/>
      <w:color w:val="3B3838" w:themeColor="background2" w:themeShade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6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163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551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205D1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7318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09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51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43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9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44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6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65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hnv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bhn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Yeeymmy Giron</dc:creator>
  <cp:keywords/>
  <dc:description/>
  <cp:lastModifiedBy>Family Behavioral Health LLC</cp:lastModifiedBy>
  <cp:revision>31</cp:revision>
  <cp:lastPrinted>2018-02-01T02:31:00Z</cp:lastPrinted>
  <dcterms:created xsi:type="dcterms:W3CDTF">2015-03-03T01:46:00Z</dcterms:created>
  <dcterms:modified xsi:type="dcterms:W3CDTF">2019-04-30T18:36:00Z</dcterms:modified>
</cp:coreProperties>
</file>